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816F2" w14:textId="77777777" w:rsidR="00002AA1" w:rsidRDefault="00002AA1">
      <w:pPr>
        <w:shd w:val="clear" w:color="auto" w:fill="FFFFFF"/>
        <w:spacing w:line="331" w:lineRule="auto"/>
        <w:jc w:val="center"/>
        <w:rPr>
          <w:rFonts w:ascii="Book Antiqua" w:eastAsia="Book Antiqua" w:hAnsi="Book Antiqua" w:cs="Book Antiqua"/>
          <w:sz w:val="24"/>
          <w:szCs w:val="24"/>
        </w:rPr>
      </w:pPr>
    </w:p>
    <w:p w14:paraId="65453514" w14:textId="77777777" w:rsidR="00002AA1" w:rsidRDefault="00002AA1">
      <w:pPr>
        <w:shd w:val="clear" w:color="auto" w:fill="FFFFFF"/>
        <w:spacing w:line="331" w:lineRule="auto"/>
        <w:jc w:val="center"/>
        <w:rPr>
          <w:rFonts w:ascii="Book Antiqua" w:eastAsia="Book Antiqua" w:hAnsi="Book Antiqua" w:cs="Book Antiqua"/>
          <w:sz w:val="24"/>
          <w:szCs w:val="24"/>
        </w:rPr>
      </w:pPr>
    </w:p>
    <w:p w14:paraId="2B122113" w14:textId="77777777" w:rsidR="00002AA1" w:rsidRDefault="00000000">
      <w:pPr>
        <w:shd w:val="clear" w:color="auto" w:fill="FFFFFF"/>
        <w:spacing w:line="331" w:lineRule="auto"/>
        <w:jc w:val="center"/>
        <w:rPr>
          <w:rFonts w:ascii="Book Antiqua" w:eastAsia="Book Antiqua" w:hAnsi="Book Antiqua" w:cs="Book Antiqua"/>
          <w:sz w:val="24"/>
          <w:szCs w:val="24"/>
        </w:rPr>
      </w:pPr>
      <w:r>
        <w:rPr>
          <w:rFonts w:ascii="Book Antiqua" w:eastAsia="Book Antiqua" w:hAnsi="Book Antiqua" w:cs="Book Antiqua"/>
          <w:noProof/>
          <w:sz w:val="24"/>
          <w:szCs w:val="24"/>
        </w:rPr>
        <w:drawing>
          <wp:inline distT="114300" distB="114300" distL="114300" distR="114300" wp14:anchorId="321BE113" wp14:editId="72965178">
            <wp:extent cx="5731200" cy="105410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5731200" cy="1054100"/>
                    </a:xfrm>
                    <a:prstGeom prst="rect">
                      <a:avLst/>
                    </a:prstGeom>
                    <a:ln/>
                  </pic:spPr>
                </pic:pic>
              </a:graphicData>
            </a:graphic>
          </wp:inline>
        </w:drawing>
      </w:r>
    </w:p>
    <w:p w14:paraId="718BA373" w14:textId="77777777" w:rsidR="00002AA1" w:rsidRDefault="00000000">
      <w:pPr>
        <w:shd w:val="clear" w:color="auto" w:fill="FFFFFF"/>
        <w:spacing w:line="331" w:lineRule="auto"/>
        <w:jc w:val="center"/>
        <w:rPr>
          <w:rFonts w:ascii="Book Antiqua" w:eastAsia="Book Antiqua" w:hAnsi="Book Antiqua" w:cs="Book Antiqua"/>
          <w:sz w:val="24"/>
          <w:szCs w:val="24"/>
        </w:rPr>
      </w:pPr>
      <w:r>
        <w:rPr>
          <w:rFonts w:ascii="Book Antiqua" w:eastAsia="Book Antiqua" w:hAnsi="Book Antiqua" w:cs="Book Antiqua"/>
          <w:noProof/>
          <w:sz w:val="24"/>
          <w:szCs w:val="24"/>
        </w:rPr>
        <w:drawing>
          <wp:inline distT="114300" distB="114300" distL="114300" distR="114300" wp14:anchorId="0BC051F2" wp14:editId="6C147360">
            <wp:extent cx="5731200" cy="13843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731200" cy="1384300"/>
                    </a:xfrm>
                    <a:prstGeom prst="rect">
                      <a:avLst/>
                    </a:prstGeom>
                    <a:ln/>
                  </pic:spPr>
                </pic:pic>
              </a:graphicData>
            </a:graphic>
          </wp:inline>
        </w:drawing>
      </w:r>
    </w:p>
    <w:tbl>
      <w:tblPr>
        <w:tblStyle w:val="a"/>
        <w:tblW w:w="9060" w:type="dxa"/>
        <w:tblInd w:w="30" w:type="dxa"/>
        <w:tblBorders>
          <w:top w:val="nil"/>
          <w:left w:val="nil"/>
          <w:bottom w:val="nil"/>
          <w:right w:val="nil"/>
          <w:insideH w:val="nil"/>
          <w:insideV w:val="nil"/>
        </w:tblBorders>
        <w:tblLayout w:type="fixed"/>
        <w:tblLook w:val="0600" w:firstRow="0" w:lastRow="0" w:firstColumn="0" w:lastColumn="0" w:noHBand="1" w:noVBand="1"/>
      </w:tblPr>
      <w:tblGrid>
        <w:gridCol w:w="9060"/>
      </w:tblGrid>
      <w:tr w:rsidR="00002AA1" w14:paraId="4CE6F922" w14:textId="77777777">
        <w:trPr>
          <w:trHeight w:val="860"/>
        </w:trPr>
        <w:tc>
          <w:tcPr>
            <w:tcW w:w="9060" w:type="dxa"/>
            <w:tcBorders>
              <w:top w:val="nil"/>
              <w:left w:val="nil"/>
              <w:bottom w:val="nil"/>
              <w:right w:val="nil"/>
            </w:tcBorders>
            <w:shd w:val="clear" w:color="auto" w:fill="1F497D"/>
            <w:tcMar>
              <w:top w:w="100" w:type="dxa"/>
              <w:left w:w="100" w:type="dxa"/>
              <w:bottom w:w="100" w:type="dxa"/>
              <w:right w:w="100" w:type="dxa"/>
            </w:tcMar>
            <w:vAlign w:val="center"/>
          </w:tcPr>
          <w:p w14:paraId="150A72E8" w14:textId="77777777" w:rsidR="00002AA1" w:rsidRDefault="00000000">
            <w:pPr>
              <w:widowControl w:val="0"/>
              <w:spacing w:before="160" w:after="160" w:line="240" w:lineRule="auto"/>
              <w:ind w:left="460" w:right="460"/>
              <w:jc w:val="center"/>
              <w:rPr>
                <w:rFonts w:ascii="Book Antiqua" w:eastAsia="Book Antiqua" w:hAnsi="Book Antiqua" w:cs="Book Antiqua"/>
                <w:b/>
                <w:bCs/>
                <w:i/>
                <w:iCs/>
                <w:color w:val="FFFFFF"/>
                <w:sz w:val="24"/>
                <w:szCs w:val="24"/>
              </w:rPr>
            </w:pPr>
            <w:r>
              <w:rPr>
                <w:rFonts w:ascii="Book Antiqua" w:eastAsia="Book Antiqua" w:hAnsi="Book Antiqua" w:cs="Book Antiqua"/>
                <w:b/>
                <w:bCs/>
                <w:i/>
                <w:iCs/>
                <w:color w:val="FFFFFF"/>
                <w:sz w:val="24"/>
                <w:szCs w:val="24"/>
              </w:rPr>
              <w:t>LaborNet</w:t>
            </w:r>
          </w:p>
        </w:tc>
      </w:tr>
    </w:tbl>
    <w:p w14:paraId="53F078CC" w14:textId="77777777" w:rsidR="00002AA1" w:rsidRDefault="00002AA1">
      <w:pPr>
        <w:widowControl w:val="0"/>
        <w:spacing w:line="240" w:lineRule="auto"/>
        <w:jc w:val="both"/>
        <w:rPr>
          <w:rFonts w:ascii="Book Antiqua" w:eastAsia="Book Antiqua" w:hAnsi="Book Antiqua" w:cs="Book Antiqua"/>
          <w:sz w:val="24"/>
          <w:szCs w:val="24"/>
          <w:u w:val="single"/>
        </w:rPr>
      </w:pPr>
    </w:p>
    <w:p w14:paraId="4B571615" w14:textId="77777777" w:rsidR="00002AA1" w:rsidRDefault="00002AA1">
      <w:pPr>
        <w:shd w:val="clear" w:color="auto" w:fill="FFFFFF"/>
        <w:ind w:right="460"/>
        <w:jc w:val="both"/>
        <w:rPr>
          <w:rFonts w:ascii="Book Antiqua" w:eastAsia="Book Antiqua" w:hAnsi="Book Antiqua" w:cs="Book Antiqua"/>
          <w:sz w:val="24"/>
          <w:szCs w:val="24"/>
        </w:rPr>
      </w:pPr>
    </w:p>
    <w:p w14:paraId="45FFBCEE"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Dear All,</w:t>
      </w:r>
    </w:p>
    <w:p w14:paraId="7EFFD7F0"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rPr>
      </w:pPr>
    </w:p>
    <w:p w14:paraId="380C1E74"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Registered Employment Promotion. Implementation. ARCA General Resolution No. 5862/2026 - Social Security</w:t>
      </w:r>
    </w:p>
    <w:p w14:paraId="43F9232E"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p>
    <w:p w14:paraId="47C769C9"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Publication Date: June 11, 2026 (Official Gazette).</w:t>
      </w:r>
    </w:p>
    <w:p w14:paraId="48322833"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In Force.</w:t>
      </w:r>
    </w:p>
    <w:p w14:paraId="473D00BF"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p>
    <w:p w14:paraId="0A527F86"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HAVING REGARD TO the Electronic File No. EX-2026-01236055- -ARCA-DVNREC#SDGREC and</w:t>
      </w:r>
    </w:p>
    <w:p w14:paraId="19F2ECE2"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inherit" w:eastAsia="Times New Roman" w:hAnsi="inherit" w:cs="Calibri"/>
          <w:b/>
          <w:bCs/>
          <w:color w:val="174E86"/>
          <w:sz w:val="24"/>
          <w:szCs w:val="24"/>
          <w:bdr w:val="none" w:sz="0" w:space="0" w:color="auto" w:frame="1"/>
          <w:lang w:val="en-US"/>
        </w:rPr>
        <w:t>WHEREAS</w:t>
      </w:r>
    </w:p>
    <w:p w14:paraId="17764C3B"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Title XXII of the Labor Modernization Act (Law 27802) created a system of Registered Employment Promotion to regularize the status of employees working in the private sector before the enactment date of this Act, including undeclared and under-declared employees.</w:t>
      </w:r>
    </w:p>
    <w:p w14:paraId="30573AC4"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Executive Order No. 409 dated May 29, 2026 regulated the effects of the aforementioned Act and set the debt forgiveness percentages for unpaid social security contributions.</w:t>
      </w:r>
    </w:p>
    <w:p w14:paraId="1D76480C"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Pursuant to this Act, the Tax Authority (ARCA) was mandated to establish an installment payment plan for outstanding liabilities and issue the necessary implementing regulations for its correct enforcement.</w:t>
      </w:r>
    </w:p>
    <w:p w14:paraId="5DB6BBD7"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Consequently, it is essential to establish eligibility requirements, deadlines, and other conditions for employers to enroll in the Registered Employment Promotion system, as well as to choose an installment payment plan or a lump-sum payment to settle their debts.</w:t>
      </w:r>
    </w:p>
    <w:p w14:paraId="46510BE2"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This matter has been reviewed and approved by the Legislation Department; the Assistant General Departments of Legal Affairs, Collection, Audit, Institutional Affairs, Systems and Telecommunications, and Legal-Tax Advisory; and the General Department of Taxation.</w:t>
      </w:r>
    </w:p>
    <w:p w14:paraId="2E41C2B5"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lastRenderedPageBreak/>
        <w:t>This Resolution is issued pursuant to the powers conferred under Sections 172 and 176 of Law 27802; Section 7 of Executive Order No. 618 dated July 10, 1997, as amended and supplemented; Executive Order No. 953 of October 24, 2024; and Section 8 of Executive Order No. 13 of January 6, 2025, as amended.</w:t>
      </w:r>
    </w:p>
    <w:p w14:paraId="2BD758EC"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Therefore,</w:t>
      </w:r>
    </w:p>
    <w:p w14:paraId="7F7B0DED"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THE EXECUTIVE DIRECTOR OF THE REVENUE AND CUSTOMS COLLECTION AND CONTROL AGENCY (ARCA)</w:t>
      </w:r>
    </w:p>
    <w:p w14:paraId="2ED24625"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HEREBY RESOLVES:</w:t>
      </w:r>
    </w:p>
    <w:p w14:paraId="53D9B575" w14:textId="77777777" w:rsidR="0063739F" w:rsidRPr="0063739F" w:rsidRDefault="0063739F" w:rsidP="0063739F">
      <w:pPr>
        <w:shd w:val="clear" w:color="auto" w:fill="FFFFFF"/>
        <w:spacing w:line="240" w:lineRule="auto"/>
        <w:jc w:val="center"/>
        <w:textAlignment w:val="baseline"/>
        <w:rPr>
          <w:rFonts w:ascii="Calibri" w:eastAsia="Times New Roman" w:hAnsi="Calibri" w:cs="Calibri"/>
          <w:color w:val="174E86"/>
          <w:sz w:val="24"/>
          <w:szCs w:val="24"/>
          <w:lang w:val="en-US"/>
        </w:rPr>
      </w:pPr>
      <w:r w:rsidRPr="0063739F">
        <w:rPr>
          <w:rFonts w:ascii="inherit" w:eastAsia="Times New Roman" w:hAnsi="inherit" w:cs="Calibri"/>
          <w:b/>
          <w:bCs/>
          <w:color w:val="174E86"/>
          <w:sz w:val="24"/>
          <w:szCs w:val="24"/>
          <w:bdr w:val="none" w:sz="0" w:space="0" w:color="auto" w:frame="1"/>
          <w:lang w:val="en-US"/>
        </w:rPr>
        <w:t>TITLE I - PROMOTION OF REGISTERED EMPLOYMENT </w:t>
      </w:r>
    </w:p>
    <w:p w14:paraId="6213364C"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Section 1- Private sector employers who regularize undeclared or under-declared employees hired on or before March 5, 2026 and currently employed upon enrollment date shall be governed by the Registered Employment Promotion system under Title XXII of Law 27802.</w:t>
      </w:r>
    </w:p>
    <w:p w14:paraId="1616F7ED"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This system covers those employment relationships identified through inspections, as duly notified to employers, whose debt has not been settled, even if such debt is currently being contested through administrative appeals or court litigation.</w:t>
      </w:r>
    </w:p>
    <w:p w14:paraId="0A31EB4F"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This Resolution does not apply to employment in the public sector, pursuant to Section 8 of Law 24156 on the Financial Administration and National Public Sector Control Systems, as amended, or to the respective regulations issued by the provinces, the Autonomous City of Buenos Aires, and other municipalities, as appropriate.</w:t>
      </w:r>
    </w:p>
    <w:p w14:paraId="381CEF9F"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Those who participated in the Registered Employment Promotion system under Title IV of Law 27742 on the Bases and Starting Points for the Freedom of Argentines shall not be permitted to enroll in the system under Title XXII of Law 27802 to regularize the status of the same employees.</w:t>
      </w:r>
    </w:p>
    <w:p w14:paraId="492169E6"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Employees' status may be regularized on or before November 28, 2026, for obligations accrued through October 2026.</w:t>
      </w:r>
    </w:p>
    <w:p w14:paraId="21E86CCE"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SECTION 2.- For the purposes of the provisions of Section 168 of Law 27802, these terms are defined as follows:</w:t>
      </w:r>
    </w:p>
    <w:p w14:paraId="6CA2E2EA"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a) "Undeclared employment" means employee-employer relationships where during the periods to be regularized employees were not registered under Section 7 of Law 24013, as amended, and Section 52 of Law 20744 (consolidated text 1976), as amended.</w:t>
      </w:r>
    </w:p>
    <w:p w14:paraId="3FE8212C"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b) "Under-declared employment" means employee-employer relationships where employers registered a later start date than the actual commencement of employment, or a lower salary than the amount actually earned by employees.</w:t>
      </w:r>
    </w:p>
    <w:p w14:paraId="474D59B2"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SECTION 3.- In order to regularize employment, as mentioned above, employers must follow the steps below, as appropriate:</w:t>
      </w:r>
    </w:p>
    <w:p w14:paraId="7D76CACA"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a) In the event of undeclared employment or in the cases where employees have been registered with a later start date, employers must register employees or correct their start date, as appropriate, accessing the menu option "Simplificación Registral" (Registry Simplification) with their Tax ID Code and identify them with the following "Hiring Method Codes":</w:t>
      </w:r>
    </w:p>
    <w:p w14:paraId="514EB260"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 </w:t>
      </w:r>
    </w:p>
    <w:tbl>
      <w:tblPr>
        <w:tblW w:w="0" w:type="auto"/>
        <w:tblCellMar>
          <w:top w:w="15" w:type="dxa"/>
          <w:left w:w="15" w:type="dxa"/>
          <w:bottom w:w="15" w:type="dxa"/>
          <w:right w:w="15" w:type="dxa"/>
        </w:tblCellMar>
        <w:tblLook w:val="04A0" w:firstRow="1" w:lastRow="0" w:firstColumn="1" w:lastColumn="0" w:noHBand="0" w:noVBand="1"/>
      </w:tblPr>
      <w:tblGrid>
        <w:gridCol w:w="1110"/>
        <w:gridCol w:w="7080"/>
      </w:tblGrid>
      <w:tr w:rsidR="0063739F" w:rsidRPr="0063739F" w14:paraId="5179389E" w14:textId="77777777">
        <w:trPr>
          <w:trHeight w:val="495"/>
        </w:trPr>
        <w:tc>
          <w:tcPr>
            <w:tcW w:w="111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531DE49D"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CODE</w:t>
            </w:r>
          </w:p>
        </w:tc>
        <w:tc>
          <w:tcPr>
            <w:tcW w:w="708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3CD84FC6"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HIRING METHOD</w:t>
            </w:r>
          </w:p>
        </w:tc>
      </w:tr>
      <w:tr w:rsidR="0063739F" w:rsidRPr="0063739F" w14:paraId="21AB9F0B" w14:textId="77777777">
        <w:trPr>
          <w:trHeight w:val="720"/>
        </w:trPr>
        <w:tc>
          <w:tcPr>
            <w:tcW w:w="111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327DEF80"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704</w:t>
            </w:r>
          </w:p>
        </w:tc>
        <w:tc>
          <w:tcPr>
            <w:tcW w:w="708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2459BCC5"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lang w:val="en-US"/>
              </w:rPr>
              <w:t xml:space="preserve">Regularization for undeclared employees Section 169 - Act 27802. </w:t>
            </w:r>
            <w:r w:rsidRPr="0063739F">
              <w:rPr>
                <w:rFonts w:ascii="Calibri" w:eastAsia="Times New Roman" w:hAnsi="Calibri" w:cs="Calibri"/>
                <w:color w:val="174E86"/>
                <w:sz w:val="24"/>
                <w:szCs w:val="24"/>
              </w:rPr>
              <w:t>Micro and Small Businesses. Non-Profit Organizations</w:t>
            </w:r>
          </w:p>
        </w:tc>
      </w:tr>
      <w:tr w:rsidR="0063739F" w:rsidRPr="0063739F" w14:paraId="22F9232D" w14:textId="77777777">
        <w:trPr>
          <w:trHeight w:val="720"/>
        </w:trPr>
        <w:tc>
          <w:tcPr>
            <w:tcW w:w="111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50013BCB"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lastRenderedPageBreak/>
              <w:t>705</w:t>
            </w:r>
          </w:p>
        </w:tc>
        <w:tc>
          <w:tcPr>
            <w:tcW w:w="708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5A5FA992"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lang w:val="en-US"/>
              </w:rPr>
              <w:t xml:space="preserve">Regularization for undeclared employees Section 169 - Act 27802. </w:t>
            </w:r>
            <w:r w:rsidRPr="0063739F">
              <w:rPr>
                <w:rFonts w:ascii="Calibri" w:eastAsia="Times New Roman" w:hAnsi="Calibri" w:cs="Calibri"/>
                <w:color w:val="174E86"/>
                <w:sz w:val="24"/>
                <w:szCs w:val="24"/>
              </w:rPr>
              <w:t>Medium-Sized Businesses. Tiers 1 and 2.</w:t>
            </w:r>
          </w:p>
        </w:tc>
      </w:tr>
      <w:tr w:rsidR="0063739F" w:rsidRPr="0063739F" w14:paraId="09836BEC" w14:textId="77777777">
        <w:trPr>
          <w:trHeight w:val="720"/>
        </w:trPr>
        <w:tc>
          <w:tcPr>
            <w:tcW w:w="111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4AC746B8"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706</w:t>
            </w:r>
          </w:p>
        </w:tc>
        <w:tc>
          <w:tcPr>
            <w:tcW w:w="708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59F0E4B9"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lang w:val="en-US"/>
              </w:rPr>
              <w:t xml:space="preserve">Regularization for undeclared employees Section 169 - Act 27802. </w:t>
            </w:r>
            <w:r w:rsidRPr="0063739F">
              <w:rPr>
                <w:rFonts w:ascii="Calibri" w:eastAsia="Times New Roman" w:hAnsi="Calibri" w:cs="Calibri"/>
                <w:color w:val="174E86"/>
                <w:sz w:val="24"/>
                <w:szCs w:val="24"/>
              </w:rPr>
              <w:t>Other employers.</w:t>
            </w:r>
          </w:p>
        </w:tc>
      </w:tr>
    </w:tbl>
    <w:p w14:paraId="11CFE0A1"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 </w:t>
      </w:r>
    </w:p>
    <w:p w14:paraId="6EE93430"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b) In the case of employment relationships where employers declared a lower salary than the amount actually received by employees, employers must, as appropriate, report the difference in the “Declaración en línea” (Employer Payroll Tax Returns) service under the “Rectificativa Remuneración” (Salary Rectification) field in the additional data table, or enter such difference in the payroll itemization tab to determine the respective social security obligations, by incorporating the following item:</w:t>
      </w:r>
    </w:p>
    <w:p w14:paraId="0383FC05"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 </w:t>
      </w:r>
    </w:p>
    <w:tbl>
      <w:tblPr>
        <w:tblW w:w="0" w:type="auto"/>
        <w:tblCellMar>
          <w:top w:w="15" w:type="dxa"/>
          <w:left w:w="15" w:type="dxa"/>
          <w:bottom w:w="15" w:type="dxa"/>
          <w:right w:w="15" w:type="dxa"/>
        </w:tblCellMar>
        <w:tblLook w:val="04A0" w:firstRow="1" w:lastRow="0" w:firstColumn="1" w:lastColumn="0" w:noHBand="0" w:noVBand="1"/>
      </w:tblPr>
      <w:tblGrid>
        <w:gridCol w:w="1110"/>
        <w:gridCol w:w="7080"/>
      </w:tblGrid>
      <w:tr w:rsidR="0063739F" w:rsidRPr="0063739F" w14:paraId="25290C5A" w14:textId="77777777">
        <w:trPr>
          <w:trHeight w:val="495"/>
        </w:trPr>
        <w:tc>
          <w:tcPr>
            <w:tcW w:w="111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7967F28D"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CODE</w:t>
            </w:r>
          </w:p>
        </w:tc>
        <w:tc>
          <w:tcPr>
            <w:tcW w:w="708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23D107E8"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ITEM</w:t>
            </w:r>
          </w:p>
        </w:tc>
      </w:tr>
      <w:tr w:rsidR="0063739F" w:rsidRPr="0063739F" w14:paraId="1E2FF358" w14:textId="77777777">
        <w:trPr>
          <w:trHeight w:val="495"/>
        </w:trPr>
        <w:tc>
          <w:tcPr>
            <w:tcW w:w="111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32CB8D99"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181000</w:t>
            </w:r>
          </w:p>
        </w:tc>
        <w:tc>
          <w:tcPr>
            <w:tcW w:w="708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4603E333"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Salary Rectification under Law 27802</w:t>
            </w:r>
          </w:p>
        </w:tc>
      </w:tr>
    </w:tbl>
    <w:p w14:paraId="30974C50"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 </w:t>
      </w:r>
    </w:p>
    <w:p w14:paraId="37576EA2"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In both cases, for the tax periods to be regularized, employers must submit the original or amended tax returns, determining and indicating the social security obligations due on the last day of the month in which the request for regularization is submitted, as indicated in Section 4, using the codes provided therein for employment relations in subsection a) .</w:t>
      </w:r>
    </w:p>
    <w:p w14:paraId="303C00F6"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In addition, employers must include the regularized employees and/or their correct salaries as indicated in subsections a) and b) of this Section in their original or amended tax returns, determining and indicating the social security obligations for the accrued period in which the request for regularization is submitted and subsequent periods, if applicable, through the "Declaración en línea" system.</w:t>
      </w:r>
    </w:p>
    <w:p w14:paraId="08FDBB7B"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Any outstanding debt determined based on subsections a) and b) of this Section must be settled or regularized in its entirety, as provided by Section 6.</w:t>
      </w:r>
    </w:p>
    <w:p w14:paraId="090E168F"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SECTION 4.- For the purposes of the previous Section, the “Declaración en línea” system regulated by General Resolution No. 3960, as amended and supplemented, will incorporate the new codes and automatically calculate the percentage of debt forgiveness applicable to Micro and Small Businesses or non-profit organizations, as well as Medium-Sized Businesses or other employers.</w:t>
      </w:r>
    </w:p>
    <w:p w14:paraId="7C841A40"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In the case of amended tax periods prior to February 2007, the Tax Authority (ARCA) will make available release 8 of version 47 of the SICOSS (Social Security Obligations Calculation System) application program, which can be found under the “Aplicativos” (Applications) option on its website (https://www.arca.gob.ar).</w:t>
      </w:r>
    </w:p>
    <w:p w14:paraId="72F01331"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SECTION 5.- Employment regularization according to Title XXII of Law 27802 and its implementing guidelines shall have the effects mentioned in subsections a), b) and c) of Section 169 of such Law, under the conditions established by Executive Order No. 409 of May 29, 2026.</w:t>
      </w:r>
    </w:p>
    <w:p w14:paraId="7F1D2812"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As a result of this regularization process, in conjunction with the option chosen to settle debts pursuant to Section 6 of this General Resolution, employers' liabilities—capital and interest—</w:t>
      </w:r>
      <w:r w:rsidRPr="0063739F">
        <w:rPr>
          <w:rFonts w:ascii="Calibri" w:eastAsia="Times New Roman" w:hAnsi="Calibri" w:cs="Calibri"/>
          <w:color w:val="174E86"/>
          <w:sz w:val="24"/>
          <w:szCs w:val="24"/>
          <w:lang w:val="en-US"/>
        </w:rPr>
        <w:lastRenderedPageBreak/>
        <w:t>for unpaid social security contributions regarding the regularized employees shall be partially forgiven for the following subsystems:</w:t>
      </w:r>
    </w:p>
    <w:p w14:paraId="1C9742B0"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a) Sistema Integrado Previsional Argentino (Argentine Integrated Pension System). Law 24241, as amended.</w:t>
      </w:r>
    </w:p>
    <w:p w14:paraId="71E60F0F"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b) Instituto Nacional de Servicios Sociales para Jubilados y Pensionados (National Institute of Social Services for Retirees and Pensioners). Law 19032, as amended.</w:t>
      </w:r>
    </w:p>
    <w:p w14:paraId="21DCAA56"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c) National System of Union-Run Health Insurance. Law 23660, as amended.</w:t>
      </w:r>
    </w:p>
    <w:p w14:paraId="297F70B2"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d) National Employment Fund. Law 24013, as amended.</w:t>
      </w:r>
    </w:p>
    <w:p w14:paraId="19133322"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e) National Family Allowance System. Law 24714, as amended.</w:t>
      </w:r>
    </w:p>
    <w:p w14:paraId="109D6A5C"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Debts may be partially forgiven according to the percentages indicated below, depending on employers' status at the time of submitting their original or amended tax returns to regularize employees:</w:t>
      </w:r>
    </w:p>
    <w:p w14:paraId="0205F815"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1.- Micro and Small Businesses identified in the Registry System with codes 272 - "Micro Businesses Law 25300" or 274 - "Small Companies Law 25300", and non-profit organizations registered with ARCA in accordance with the provisions of Section 9, paragraph b): NINETY PERCENT (90%).</w:t>
      </w:r>
    </w:p>
    <w:p w14:paraId="3A0AFAFF"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2.- Medium-Sized Companies Tiers 1 and 2 identified in the Registry System with codes 351 - "MEDIUM-SIZED COMPANY - Tier 1. Law 25300" or 352 - "MEDIUM-SIZED COMPANY - Tier 2. Law 25300": EIGHTY PERCENT (80%).</w:t>
      </w:r>
    </w:p>
    <w:p w14:paraId="524BD969"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3.- Other employers: SEVENTY PERCENT (70%).</w:t>
      </w:r>
    </w:p>
    <w:p w14:paraId="42E07AA5"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These rates may be viewed by logging into the “Sistema Registral” (Registration System) service using your Tax ID Code and selecting the option “consulta/datos registrales/caracterizaciones” (inquiries/registration data/classifications).</w:t>
      </w:r>
    </w:p>
    <w:p w14:paraId="38CDDC31"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In addition, by regularizing undeclared employees, employers' total liabilities - capital and interest - for unpaid social security contributions shall be fully forgiven for the following subsystems:</w:t>
      </w:r>
    </w:p>
    <w:p w14:paraId="4C850BE2"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a) National Health Insurance System. Law 23661, as amended.</w:t>
      </w:r>
    </w:p>
    <w:p w14:paraId="2725ACE7"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b) Workers' Compensation Act. Law 24557, as amended.</w:t>
      </w:r>
    </w:p>
    <w:p w14:paraId="6B66DE8D"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c) Mandatory Group Life Insurance. Executive Order No. 1567 dated November 20, 1974, as amended.</w:t>
      </w:r>
    </w:p>
    <w:p w14:paraId="6474AFBF"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The Tax Authority shall report the completed regularization to the respective social security entities receiving the funds.</w:t>
      </w:r>
    </w:p>
    <w:p w14:paraId="6B871B36"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SECTION 6.- The benefits under Section 169 of Law 27802 shall be applicable provided that the outstanding debt—plus interest—determined in the tax returns specified in the second paragraph of Section 3 is fully settled or regularized on or before November 28, 2026, under any of the following options:</w:t>
      </w:r>
    </w:p>
    <w:p w14:paraId="392BC4E1"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a) Cash payment, in which case, the aforementioned debt will be reduced BY FIFTY PERCENT (50%), as established by subsection a) of Section 5 of Executive Order No. 409/26.</w:t>
      </w:r>
    </w:p>
    <w:p w14:paraId="5F2CB2B2"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To this end, employers must access "Mis Facilidades" (My Payment Plans) system available on ARCA website  (https://www.arca.gob.ar), under menu option “Ley Nº27802 - Régimen de Regularización Promoción del Empleo Registrado” (Law 27802 - Implementing Guidelines for the Registered Employment Promotion System) with the respective Tax ID Password.</w:t>
      </w:r>
    </w:p>
    <w:p w14:paraId="50D03107"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Furthermore, through this system, employers must consolidate their debt and generate an Electronic Payment Ticket (VEP, for its acronym in Spanish), which is valid for the issuance day until midnight (12:00 AM). Payment must be made exclusively via wire transfer, in accordance with the provisions of General Resolution No. 1778, as amended and supplemented.</w:t>
      </w:r>
    </w:p>
    <w:p w14:paraId="5DF5B5A1"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b) Payment Plan according to Title II hereof.</w:t>
      </w:r>
    </w:p>
    <w:p w14:paraId="3645C465"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lastRenderedPageBreak/>
        <w:t>SECTION 7.- Due liabilities, which are determined as a result of the regularization process, shall be registered with the following codes:</w:t>
      </w:r>
    </w:p>
    <w:p w14:paraId="2D8C278A"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inherit" w:eastAsia="Times New Roman" w:hAnsi="inherit" w:cs="Calibri"/>
          <w:b/>
          <w:bCs/>
          <w:color w:val="174E86"/>
          <w:sz w:val="24"/>
          <w:szCs w:val="24"/>
          <w:u w:val="single"/>
          <w:bdr w:val="none" w:sz="0" w:space="0" w:color="auto" w:frame="1"/>
          <w:lang w:val="en-US"/>
        </w:rPr>
        <w:t>301 - 782 - 019</w:t>
      </w:r>
      <w:r w:rsidRPr="0063739F">
        <w:rPr>
          <w:rFonts w:ascii="Calibri" w:eastAsia="Times New Roman" w:hAnsi="Calibri" w:cs="Calibri"/>
          <w:color w:val="174E86"/>
          <w:sz w:val="24"/>
          <w:szCs w:val="24"/>
          <w:lang w:val="en-US"/>
        </w:rPr>
        <w:t> - SOCIAL SECURITY - Contributions for the Promotion of Registered Employment. Law 27802.</w:t>
      </w:r>
    </w:p>
    <w:p w14:paraId="74D5B298"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inherit" w:eastAsia="Times New Roman" w:hAnsi="inherit" w:cs="Calibri"/>
          <w:b/>
          <w:bCs/>
          <w:color w:val="174E86"/>
          <w:sz w:val="24"/>
          <w:szCs w:val="24"/>
          <w:u w:val="single"/>
          <w:bdr w:val="none" w:sz="0" w:space="0" w:color="auto" w:frame="1"/>
          <w:lang w:val="en-US"/>
        </w:rPr>
        <w:t>351 - 783 - 019</w:t>
      </w:r>
      <w:r w:rsidRPr="0063739F">
        <w:rPr>
          <w:rFonts w:ascii="Calibri" w:eastAsia="Times New Roman" w:hAnsi="Calibri" w:cs="Calibri"/>
          <w:color w:val="174E86"/>
          <w:sz w:val="24"/>
          <w:szCs w:val="24"/>
          <w:lang w:val="en-US"/>
        </w:rPr>
        <w:t> - SOCIAL SECURITY - Contributions for the Promotion of Registered Employment. Law 27802.</w:t>
      </w:r>
    </w:p>
    <w:p w14:paraId="45316CC7"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inherit" w:eastAsia="Times New Roman" w:hAnsi="inherit" w:cs="Calibri"/>
          <w:b/>
          <w:bCs/>
          <w:color w:val="174E86"/>
          <w:sz w:val="24"/>
          <w:szCs w:val="24"/>
          <w:u w:val="single"/>
          <w:bdr w:val="none" w:sz="0" w:space="0" w:color="auto" w:frame="1"/>
          <w:lang w:val="en-US"/>
        </w:rPr>
        <w:t>302 - 782 - 019</w:t>
      </w:r>
      <w:r w:rsidRPr="0063739F">
        <w:rPr>
          <w:rFonts w:ascii="Calibri" w:eastAsia="Times New Roman" w:hAnsi="Calibri" w:cs="Calibri"/>
          <w:color w:val="174E86"/>
          <w:sz w:val="24"/>
          <w:szCs w:val="24"/>
          <w:lang w:val="en-US"/>
        </w:rPr>
        <w:t> - Union-Run Health Insurance - Contributions for the Promotion of Registered Employment. Law 27802.</w:t>
      </w:r>
    </w:p>
    <w:p w14:paraId="1426D601"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inherit" w:eastAsia="Times New Roman" w:hAnsi="inherit" w:cs="Calibri"/>
          <w:b/>
          <w:bCs/>
          <w:color w:val="174E86"/>
          <w:sz w:val="24"/>
          <w:szCs w:val="24"/>
          <w:u w:val="single"/>
          <w:bdr w:val="none" w:sz="0" w:space="0" w:color="auto" w:frame="1"/>
          <w:lang w:val="en-US"/>
        </w:rPr>
        <w:t>352 - 783 - 019</w:t>
      </w:r>
      <w:r w:rsidRPr="0063739F">
        <w:rPr>
          <w:rFonts w:ascii="Calibri" w:eastAsia="Times New Roman" w:hAnsi="Calibri" w:cs="Calibri"/>
          <w:color w:val="174E86"/>
          <w:sz w:val="24"/>
          <w:szCs w:val="24"/>
          <w:lang w:val="en-US"/>
        </w:rPr>
        <w:t> - Union-Run Health Insurance - Contributions for the Promotion of Registered Employment. Law 27802.</w:t>
      </w:r>
    </w:p>
    <w:p w14:paraId="30EC9152" w14:textId="77777777" w:rsidR="0063739F" w:rsidRPr="0063739F" w:rsidRDefault="0063739F" w:rsidP="0063739F">
      <w:pPr>
        <w:shd w:val="clear" w:color="auto" w:fill="FFFFFF"/>
        <w:spacing w:line="240" w:lineRule="auto"/>
        <w:jc w:val="center"/>
        <w:textAlignment w:val="baseline"/>
        <w:rPr>
          <w:rFonts w:ascii="Calibri" w:eastAsia="Times New Roman" w:hAnsi="Calibri" w:cs="Calibri"/>
          <w:color w:val="174E86"/>
          <w:sz w:val="24"/>
          <w:szCs w:val="24"/>
          <w:lang w:val="en-US"/>
        </w:rPr>
      </w:pPr>
      <w:r w:rsidRPr="0063739F">
        <w:rPr>
          <w:rFonts w:ascii="inherit" w:eastAsia="Times New Roman" w:hAnsi="inherit" w:cs="Calibri"/>
          <w:b/>
          <w:bCs/>
          <w:color w:val="174E86"/>
          <w:sz w:val="24"/>
          <w:szCs w:val="24"/>
          <w:bdr w:val="none" w:sz="0" w:space="0" w:color="auto" w:frame="1"/>
          <w:lang w:val="en-US"/>
        </w:rPr>
        <w:t>TITLE II - PAYMENT PLANS</w:t>
      </w:r>
    </w:p>
    <w:p w14:paraId="7E8FD006"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SECTION 8.- Unpaid social security contributions under Section 5 - plus interest - accrued up to the last day of the month in which the request for regularization is submitted, may be settled through a payment plan set forth under this Title.</w:t>
      </w:r>
    </w:p>
    <w:p w14:paraId="6E2C8331"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SECTION 9.- The following employers are eligible for the payment plan:</w:t>
      </w:r>
    </w:p>
    <w:p w14:paraId="3CB1E94F"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a) Micro, Small, and Medium-Sized Businesses—Tiers 1 and 2—holding a valid “MiPyME Certificate” (MSMB Certificate) as of the date of enrollment in the payment plan, obtained in accordance with the provisions of Resolution No. 220 of April 12, 2019, issued by the former Secretariat of Entrepreneurs and Small and Medium-Sized Businesses of the then Ministry of Production and Labor, as amended, and maintaining the corresponding classification in the “Sistema Registral” (Registration System).</w:t>
      </w:r>
    </w:p>
    <w:p w14:paraId="105054F1"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b) Non-profit organizations that, at the date of enrollment in the payment plan, are registered with ARCA under any of the legal status indicated below:</w:t>
      </w:r>
    </w:p>
    <w:tbl>
      <w:tblPr>
        <w:tblW w:w="0" w:type="auto"/>
        <w:tblCellMar>
          <w:top w:w="15" w:type="dxa"/>
          <w:left w:w="15" w:type="dxa"/>
          <w:bottom w:w="15" w:type="dxa"/>
          <w:right w:w="15" w:type="dxa"/>
        </w:tblCellMar>
        <w:tblLook w:val="04A0" w:firstRow="1" w:lastRow="0" w:firstColumn="1" w:lastColumn="0" w:noHBand="0" w:noVBand="1"/>
      </w:tblPr>
      <w:tblGrid>
        <w:gridCol w:w="1320"/>
        <w:gridCol w:w="3675"/>
      </w:tblGrid>
      <w:tr w:rsidR="0063739F" w:rsidRPr="0063739F" w14:paraId="48EE35BF" w14:textId="77777777">
        <w:trPr>
          <w:trHeight w:val="495"/>
        </w:trPr>
        <w:tc>
          <w:tcPr>
            <w:tcW w:w="132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74D761D6"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CODE</w:t>
            </w:r>
          </w:p>
        </w:tc>
        <w:tc>
          <w:tcPr>
            <w:tcW w:w="3675"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05D1491B"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Legal Status</w:t>
            </w:r>
          </w:p>
        </w:tc>
      </w:tr>
      <w:tr w:rsidR="0063739F" w:rsidRPr="0063739F" w14:paraId="1C83D1C4" w14:textId="77777777">
        <w:trPr>
          <w:trHeight w:val="495"/>
        </w:trPr>
        <w:tc>
          <w:tcPr>
            <w:tcW w:w="132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7590CF47"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86</w:t>
            </w:r>
          </w:p>
        </w:tc>
        <w:tc>
          <w:tcPr>
            <w:tcW w:w="3675"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4F6CD067"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Association</w:t>
            </w:r>
          </w:p>
        </w:tc>
      </w:tr>
      <w:tr w:rsidR="0063739F" w:rsidRPr="0063739F" w14:paraId="4612B59D" w14:textId="77777777">
        <w:trPr>
          <w:trHeight w:val="495"/>
        </w:trPr>
        <w:tc>
          <w:tcPr>
            <w:tcW w:w="132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08131796"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87</w:t>
            </w:r>
          </w:p>
        </w:tc>
        <w:tc>
          <w:tcPr>
            <w:tcW w:w="3675"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5F7C7EA0"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Foundation</w:t>
            </w:r>
          </w:p>
        </w:tc>
      </w:tr>
      <w:tr w:rsidR="0063739F" w:rsidRPr="0063739F" w14:paraId="7867D03E" w14:textId="77777777">
        <w:trPr>
          <w:trHeight w:val="495"/>
        </w:trPr>
        <w:tc>
          <w:tcPr>
            <w:tcW w:w="132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56CE1AAE"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94</w:t>
            </w:r>
          </w:p>
        </w:tc>
        <w:tc>
          <w:tcPr>
            <w:tcW w:w="3675"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3BE26C76"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Cooperative</w:t>
            </w:r>
          </w:p>
        </w:tc>
      </w:tr>
      <w:tr w:rsidR="0063739F" w:rsidRPr="0063739F" w14:paraId="5AF8BA5C" w14:textId="77777777">
        <w:trPr>
          <w:trHeight w:val="495"/>
        </w:trPr>
        <w:tc>
          <w:tcPr>
            <w:tcW w:w="132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41ACD183"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95</w:t>
            </w:r>
          </w:p>
        </w:tc>
        <w:tc>
          <w:tcPr>
            <w:tcW w:w="3675"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1DEE5327"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Registered Social Service Worker Cooperative</w:t>
            </w:r>
          </w:p>
        </w:tc>
      </w:tr>
      <w:tr w:rsidR="0063739F" w:rsidRPr="0063739F" w14:paraId="364CE5B5" w14:textId="77777777">
        <w:trPr>
          <w:trHeight w:val="495"/>
        </w:trPr>
        <w:tc>
          <w:tcPr>
            <w:tcW w:w="132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1312484C"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167</w:t>
            </w:r>
          </w:p>
        </w:tc>
        <w:tc>
          <w:tcPr>
            <w:tcW w:w="3675"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3F6C3C2A"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Homeowners' Association</w:t>
            </w:r>
          </w:p>
        </w:tc>
      </w:tr>
      <w:tr w:rsidR="0063739F" w:rsidRPr="0063739F" w14:paraId="7054DA44" w14:textId="77777777">
        <w:trPr>
          <w:trHeight w:val="495"/>
        </w:trPr>
        <w:tc>
          <w:tcPr>
            <w:tcW w:w="132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3F153169"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203</w:t>
            </w:r>
          </w:p>
        </w:tc>
        <w:tc>
          <w:tcPr>
            <w:tcW w:w="3675"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2B156F20"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Mutual Benefit Society</w:t>
            </w:r>
          </w:p>
        </w:tc>
      </w:tr>
      <w:tr w:rsidR="0063739F" w:rsidRPr="0063739F" w14:paraId="16E8AC16" w14:textId="77777777">
        <w:trPr>
          <w:trHeight w:val="495"/>
        </w:trPr>
        <w:tc>
          <w:tcPr>
            <w:tcW w:w="132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02465306"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215</w:t>
            </w:r>
          </w:p>
        </w:tc>
        <w:tc>
          <w:tcPr>
            <w:tcW w:w="3675"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5EEBCB72"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Parent-Teacher Association </w:t>
            </w:r>
          </w:p>
        </w:tc>
      </w:tr>
      <w:tr w:rsidR="0063739F" w:rsidRPr="0063739F" w14:paraId="1B3A5180" w14:textId="77777777">
        <w:trPr>
          <w:trHeight w:val="495"/>
        </w:trPr>
        <w:tc>
          <w:tcPr>
            <w:tcW w:w="132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771E8009"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223</w:t>
            </w:r>
          </w:p>
        </w:tc>
        <w:tc>
          <w:tcPr>
            <w:tcW w:w="3675"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6822D460"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Other Civil Organizations</w:t>
            </w:r>
          </w:p>
        </w:tc>
      </w:tr>
      <w:tr w:rsidR="0063739F" w:rsidRPr="0063739F" w14:paraId="2E7AA498" w14:textId="77777777">
        <w:trPr>
          <w:trHeight w:val="495"/>
        </w:trPr>
        <w:tc>
          <w:tcPr>
            <w:tcW w:w="132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2755612F"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242</w:t>
            </w:r>
          </w:p>
        </w:tc>
        <w:tc>
          <w:tcPr>
            <w:tcW w:w="3675"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117E1F12"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Institute of Consecrated Life</w:t>
            </w:r>
          </w:p>
        </w:tc>
      </w:tr>
      <w:tr w:rsidR="0063739F" w:rsidRPr="0063739F" w14:paraId="4E532CB7" w14:textId="77777777">
        <w:trPr>
          <w:trHeight w:val="495"/>
        </w:trPr>
        <w:tc>
          <w:tcPr>
            <w:tcW w:w="132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320937C2"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lastRenderedPageBreak/>
              <w:t>256</w:t>
            </w:r>
          </w:p>
        </w:tc>
        <w:tc>
          <w:tcPr>
            <w:tcW w:w="3675"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26ACCD78"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Unincorporated Association </w:t>
            </w:r>
          </w:p>
        </w:tc>
      </w:tr>
      <w:tr w:rsidR="0063739F" w:rsidRPr="0063739F" w14:paraId="006C8087" w14:textId="77777777">
        <w:trPr>
          <w:trHeight w:val="495"/>
        </w:trPr>
        <w:tc>
          <w:tcPr>
            <w:tcW w:w="132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67E74431"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257</w:t>
            </w:r>
          </w:p>
        </w:tc>
        <w:tc>
          <w:tcPr>
            <w:tcW w:w="3675"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2E2FF23B"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Church, Religious Entities</w:t>
            </w:r>
          </w:p>
        </w:tc>
      </w:tr>
      <w:tr w:rsidR="0063739F" w:rsidRPr="0063739F" w14:paraId="5AE1270B" w14:textId="77777777">
        <w:trPr>
          <w:trHeight w:val="495"/>
        </w:trPr>
        <w:tc>
          <w:tcPr>
            <w:tcW w:w="132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5D8B6C45"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260</w:t>
            </w:r>
          </w:p>
        </w:tc>
        <w:tc>
          <w:tcPr>
            <w:tcW w:w="3675"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48C579DE"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Catholic Church</w:t>
            </w:r>
          </w:p>
        </w:tc>
      </w:tr>
    </w:tbl>
    <w:p w14:paraId="0AA3B255"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rPr>
      </w:pPr>
    </w:p>
    <w:p w14:paraId="44FD187B"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c) Other employers not included in the preceding paragraphs.</w:t>
      </w:r>
    </w:p>
    <w:p w14:paraId="3CA109F7"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SECTION 10. - The maximum number of installments and the advance payment percentage shall be as detailed below:</w:t>
      </w:r>
    </w:p>
    <w:tbl>
      <w:tblPr>
        <w:tblW w:w="0" w:type="auto"/>
        <w:tblCellMar>
          <w:top w:w="15" w:type="dxa"/>
          <w:left w:w="15" w:type="dxa"/>
          <w:bottom w:w="15" w:type="dxa"/>
          <w:right w:w="15" w:type="dxa"/>
        </w:tblCellMar>
        <w:tblLook w:val="04A0" w:firstRow="1" w:lastRow="0" w:firstColumn="1" w:lastColumn="0" w:noHBand="0" w:noVBand="1"/>
      </w:tblPr>
      <w:tblGrid>
        <w:gridCol w:w="2400"/>
        <w:gridCol w:w="1575"/>
        <w:gridCol w:w="1470"/>
      </w:tblGrid>
      <w:tr w:rsidR="0063739F" w:rsidRPr="0063739F" w14:paraId="0DE5A698" w14:textId="77777777">
        <w:trPr>
          <w:trHeight w:val="720"/>
        </w:trPr>
        <w:tc>
          <w:tcPr>
            <w:tcW w:w="240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0908160F"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TAXPAYER CLASSIFICATION</w:t>
            </w:r>
          </w:p>
        </w:tc>
        <w:tc>
          <w:tcPr>
            <w:tcW w:w="1575"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16430250"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Maximum number of installments</w:t>
            </w:r>
          </w:p>
        </w:tc>
        <w:tc>
          <w:tcPr>
            <w:tcW w:w="147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23BC67C5"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Advance Payment</w:t>
            </w:r>
          </w:p>
        </w:tc>
      </w:tr>
      <w:tr w:rsidR="0063739F" w:rsidRPr="0063739F" w14:paraId="4E0C4339" w14:textId="77777777">
        <w:trPr>
          <w:trHeight w:val="945"/>
        </w:trPr>
        <w:tc>
          <w:tcPr>
            <w:tcW w:w="240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3E34C745"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Micro and Small Businesses. Non-Profit Organizations</w:t>
            </w:r>
          </w:p>
        </w:tc>
        <w:tc>
          <w:tcPr>
            <w:tcW w:w="1575"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09CD88CC"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72</w:t>
            </w:r>
          </w:p>
        </w:tc>
        <w:tc>
          <w:tcPr>
            <w:tcW w:w="147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2D05AEB6"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3%</w:t>
            </w:r>
          </w:p>
        </w:tc>
      </w:tr>
      <w:tr w:rsidR="0063739F" w:rsidRPr="0063739F" w14:paraId="0709BC9F" w14:textId="77777777">
        <w:trPr>
          <w:trHeight w:val="720"/>
        </w:trPr>
        <w:tc>
          <w:tcPr>
            <w:tcW w:w="240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477BCA02"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Medium-Sized Businesses. Tiers 1 and 2.</w:t>
            </w:r>
          </w:p>
        </w:tc>
        <w:tc>
          <w:tcPr>
            <w:tcW w:w="1575"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73018292"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48</w:t>
            </w:r>
          </w:p>
        </w:tc>
        <w:tc>
          <w:tcPr>
            <w:tcW w:w="147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1BFAFEB2"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4%</w:t>
            </w:r>
          </w:p>
        </w:tc>
      </w:tr>
      <w:tr w:rsidR="0063739F" w:rsidRPr="0063739F" w14:paraId="3C09D0CA" w14:textId="77777777">
        <w:trPr>
          <w:trHeight w:val="495"/>
        </w:trPr>
        <w:tc>
          <w:tcPr>
            <w:tcW w:w="240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1B95DDF4"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Other employers</w:t>
            </w:r>
          </w:p>
        </w:tc>
        <w:tc>
          <w:tcPr>
            <w:tcW w:w="1575"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5F70AA56"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36</w:t>
            </w:r>
          </w:p>
        </w:tc>
        <w:tc>
          <w:tcPr>
            <w:tcW w:w="1470" w:type="dxa"/>
            <w:tcBorders>
              <w:top w:val="single" w:sz="4" w:space="0" w:color="999999"/>
              <w:left w:val="single" w:sz="4" w:space="0" w:color="999999"/>
              <w:bottom w:val="single" w:sz="4" w:space="0" w:color="999999"/>
              <w:right w:val="single" w:sz="4" w:space="0" w:color="999999"/>
            </w:tcBorders>
            <w:shd w:val="clear" w:color="auto" w:fill="FFFFFF"/>
            <w:tcMar>
              <w:top w:w="100" w:type="dxa"/>
              <w:left w:w="160" w:type="dxa"/>
              <w:bottom w:w="100" w:type="dxa"/>
              <w:right w:w="160" w:type="dxa"/>
            </w:tcMar>
            <w:hideMark/>
          </w:tcPr>
          <w:p w14:paraId="00439723" w14:textId="77777777" w:rsidR="0063739F" w:rsidRPr="0063739F" w:rsidRDefault="0063739F" w:rsidP="0063739F">
            <w:pPr>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5%</w:t>
            </w:r>
          </w:p>
        </w:tc>
      </w:tr>
    </w:tbl>
    <w:p w14:paraId="5F9B9C44"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rPr>
      </w:pPr>
      <w:r w:rsidRPr="0063739F">
        <w:rPr>
          <w:rFonts w:ascii="Calibri" w:eastAsia="Times New Roman" w:hAnsi="Calibri" w:cs="Calibri"/>
          <w:color w:val="174E86"/>
          <w:sz w:val="24"/>
          <w:szCs w:val="24"/>
        </w:rPr>
        <w:t> </w:t>
      </w:r>
    </w:p>
    <w:p w14:paraId="6FC6BE7B"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SECTION 11. - The payment plan shall be subject to the following terms and conditions:</w:t>
      </w:r>
    </w:p>
    <w:p w14:paraId="36867676"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a) Installments will be monthly, equal and consecutive, and their amount will be calculated as set forth on the microsite "Mis Facilidades" (My Payment Plans) on ARCA institutional website (https://www.arca.gob.ar).</w:t>
      </w:r>
    </w:p>
    <w:p w14:paraId="5F7B576B"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The minimum amount of each installment shall be FIFTY THOUSAND ARGENTINE PESOS (ARS 50,000).</w:t>
      </w:r>
    </w:p>
    <w:p w14:paraId="19D599D0"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b) Advance payments shall be calculated based on the percentage indicated in the previous Section and applied on the total consolidated debt, according to taxpayer classification.</w:t>
      </w:r>
    </w:p>
    <w:p w14:paraId="327A704B"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The minimum amount for advance payments shall be - in all cases - FIFTY THOUSAND ARGENTINE PESOS (ARS 50,000).</w:t>
      </w:r>
    </w:p>
    <w:p w14:paraId="1E32BBC6"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c) "Date of debt consolidation" means the date in which the advance payment is made.</w:t>
      </w:r>
    </w:p>
    <w:p w14:paraId="1B5A5C32"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d) The monthly interest rate shall be ONE PERCENT (1%).</w:t>
      </w:r>
    </w:p>
    <w:p w14:paraId="748FA5A7"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e) The approved plan shall be reported to taxpayers at their Electronic Tax Addresses.</w:t>
      </w:r>
    </w:p>
    <w:p w14:paraId="45D30069"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f) The applicable interest rate shall not be changed by taxpayers and/or liable parties.</w:t>
      </w:r>
    </w:p>
    <w:p w14:paraId="4AC3A904"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SECTION 12.- In order to enroll in the payment plan, employers must access "Mis Facilidades" (My Payment Plans) with their Tax ID Code, menu option "Ley N° 27.802 - Régimen de Regularización Promoción del Empleo Registrado" (Law 27802 - Registered Employment Promotion Regularization System), whose terms and conditions and technicalities  are set forth on the microsite "Mis Facilidades" (My Payment Plans) on ARCA institutional website (https://www.arca.gob.ar).</w:t>
      </w:r>
    </w:p>
    <w:p w14:paraId="4F37D55F"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lastRenderedPageBreak/>
        <w:t>SECTION 13.- Upon detecting errors, employers may request, up to and including November 20, 2026, the cancellation of their enrollment in the installment payment plan through the "Presentaciones Digitales" (Digital Submissions) service using their Tax ID Code. In this case, they must select the procedure "Planes de Pago - Anulaciones, cancelaciones anticipadas totales y otras" (Payment Plans - Cancellations, Full Early Payoffs, and Others) and justify the respective request in order to submit a new application under the terms of the preceding Section.</w:t>
      </w:r>
    </w:p>
    <w:p w14:paraId="2C016BF7"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Cash payments, advance payments, and/or installment amounts from a payment plan may be allocated to satisfy employers' tax liabilities as they see fit. However, this excludes liabilities linked to other cash payments, down payments, installment plans, or those generated within this system.</w:t>
      </w:r>
    </w:p>
    <w:p w14:paraId="4D979D06"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SECTION 14.- The payment plan will expire by operation of law, without any action required by this Agency, upon the occurrence of any of the following cases:</w:t>
      </w:r>
    </w:p>
    <w:p w14:paraId="4C6FD528"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1. Failure to pay TWO (2) consecutive or alternating installments shall result in the termination of the payment plan SIXTY (60) calendar days following the due date of the second installment.</w:t>
      </w:r>
    </w:p>
    <w:p w14:paraId="79514189"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2. Failure to pay ONE (1) installment shall result in the termination of the payment plan SIXTY (60) calendar days following the due date of the last installment of the plan.</w:t>
      </w:r>
    </w:p>
    <w:p w14:paraId="3D4C1516"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SECTION 15.- Once the payment plan expires -and taxpayers will be duly informed at their Electronic Tax Addresses-, the benefits of this system will be forfeited and ARCA will have the authority to assess the outstanding obligations and, if applicable, initiate legal action to collect the total amount due through the issuance of the respective debt certificate.</w:t>
      </w:r>
    </w:p>
    <w:p w14:paraId="2AD1D19F"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SECTION 16.- Eligibility requirements, procedures, and formalities for enrolling in the payment plan and its benefits, acceptance, installments, early payoff, and all matters concerning debts under administrative, administrative litigation, or judicial proceedings, shall be governed by the provisions of General Resolution No. 5321, as amended, except as otherwise provided in Section 12 hereof.</w:t>
      </w:r>
    </w:p>
    <w:p w14:paraId="4E63986D"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There will be no restrictions on the number of payment plans to be submitted during the period referred to in Section 1.</w:t>
      </w:r>
    </w:p>
    <w:p w14:paraId="5DDB7B5E" w14:textId="77777777" w:rsidR="0063739F" w:rsidRPr="0063739F" w:rsidRDefault="0063739F" w:rsidP="0063739F">
      <w:pPr>
        <w:shd w:val="clear" w:color="auto" w:fill="FFFFFF"/>
        <w:spacing w:line="240" w:lineRule="auto"/>
        <w:jc w:val="center"/>
        <w:textAlignment w:val="baseline"/>
        <w:rPr>
          <w:rFonts w:ascii="Calibri" w:eastAsia="Times New Roman" w:hAnsi="Calibri" w:cs="Calibri"/>
          <w:color w:val="174E86"/>
          <w:sz w:val="24"/>
          <w:szCs w:val="24"/>
          <w:lang w:val="en-US"/>
        </w:rPr>
      </w:pPr>
      <w:r w:rsidRPr="0063739F">
        <w:rPr>
          <w:rFonts w:ascii="inherit" w:eastAsia="Times New Roman" w:hAnsi="inherit" w:cs="Calibri"/>
          <w:b/>
          <w:bCs/>
          <w:color w:val="174E86"/>
          <w:sz w:val="24"/>
          <w:szCs w:val="24"/>
          <w:bdr w:val="none" w:sz="0" w:space="0" w:color="auto" w:frame="1"/>
          <w:lang w:val="en-US"/>
        </w:rPr>
        <w:t>TITLE III GENERAL PROVISIONS</w:t>
      </w:r>
    </w:p>
    <w:p w14:paraId="4818A2F5"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SECTION 17.- The provisions of this General Resolution shall take effect on the day of its publication in the Official Gazette.</w:t>
      </w:r>
    </w:p>
    <w:p w14:paraId="74307ABA"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Notwithstanding the foregoing, the systems will be available as of June 16, 2026.</w:t>
      </w:r>
    </w:p>
    <w:p w14:paraId="02E116BA"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SECTION 18.- To be notified, sent to the National Department of Official Registry for publication in the Official Gazette, and entered into the record.</w:t>
      </w:r>
    </w:p>
    <w:p w14:paraId="10319971"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p>
    <w:p w14:paraId="59D83C8C"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Please feel free to contact us for further information.</w:t>
      </w:r>
    </w:p>
    <w:p w14:paraId="5797B60D"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color w:val="174E86"/>
          <w:sz w:val="24"/>
          <w:szCs w:val="24"/>
          <w:lang w:val="en-US"/>
        </w:rPr>
        <w:t>Best regards,</w:t>
      </w:r>
    </w:p>
    <w:p w14:paraId="722FFFD7"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p>
    <w:p w14:paraId="3676C342" w14:textId="77777777" w:rsidR="0063739F" w:rsidRPr="0063739F" w:rsidRDefault="0063739F" w:rsidP="0063739F">
      <w:pPr>
        <w:shd w:val="clear" w:color="auto" w:fill="FFFFFF"/>
        <w:spacing w:line="240" w:lineRule="auto"/>
        <w:jc w:val="both"/>
        <w:textAlignment w:val="baseline"/>
        <w:rPr>
          <w:rFonts w:ascii="Calibri" w:eastAsia="Times New Roman" w:hAnsi="Calibri" w:cs="Calibri"/>
          <w:color w:val="174E86"/>
          <w:sz w:val="24"/>
          <w:szCs w:val="24"/>
          <w:lang w:val="en-US"/>
        </w:rPr>
      </w:pPr>
      <w:r w:rsidRPr="0063739F">
        <w:rPr>
          <w:rFonts w:ascii="Calibri" w:eastAsia="Times New Roman" w:hAnsi="Calibri" w:cs="Calibri"/>
          <w:b/>
          <w:bCs/>
          <w:color w:val="174E86"/>
          <w:sz w:val="24"/>
          <w:szCs w:val="24"/>
          <w:lang w:val="en-US"/>
        </w:rPr>
        <w:t>Leading Law Firm</w:t>
      </w:r>
      <w:r w:rsidRPr="0063739F">
        <w:rPr>
          <w:rFonts w:ascii="Calibri" w:eastAsia="Times New Roman" w:hAnsi="Calibri" w:cs="Calibri"/>
          <w:color w:val="174E86"/>
          <w:sz w:val="24"/>
          <w:szCs w:val="24"/>
          <w:lang w:val="en-US"/>
        </w:rPr>
        <w:t> -</w:t>
      </w:r>
      <w:r w:rsidRPr="0063739F">
        <w:rPr>
          <w:rFonts w:ascii="inherit" w:eastAsia="Times New Roman" w:hAnsi="inherit" w:cs="Calibri"/>
          <w:b/>
          <w:bCs/>
          <w:color w:val="174E86"/>
          <w:sz w:val="24"/>
          <w:szCs w:val="24"/>
          <w:bdr w:val="none" w:sz="0" w:space="0" w:color="auto" w:frame="1"/>
          <w:lang w:val="en-US"/>
        </w:rPr>
        <w:t> de Diego &amp; Asociados </w:t>
      </w:r>
      <w:r w:rsidRPr="0063739F">
        <w:rPr>
          <w:rFonts w:ascii="Calibri" w:eastAsia="Times New Roman" w:hAnsi="Calibri" w:cs="Calibri"/>
          <w:color w:val="174E86"/>
          <w:sz w:val="24"/>
          <w:szCs w:val="24"/>
          <w:lang w:val="en-US"/>
        </w:rPr>
        <w:t>[These reports are prepared by the Senior Consulting Team, a sophisticated team of lawyers specialized in labor and employment law, with more than 40 years of solid experience serving clients with the latest trends, carefully selecting topics for Human Resources executives] </w:t>
      </w:r>
    </w:p>
    <w:p w14:paraId="55081509" w14:textId="77777777" w:rsidR="00002AA1" w:rsidRPr="0063739F" w:rsidRDefault="00002AA1" w:rsidP="0063739F">
      <w:pPr>
        <w:shd w:val="clear" w:color="auto" w:fill="FFFFFF"/>
        <w:ind w:right="460"/>
        <w:jc w:val="both"/>
        <w:rPr>
          <w:rFonts w:ascii="Book Antiqua" w:eastAsia="Book Antiqua" w:hAnsi="Book Antiqua" w:cs="Book Antiqua"/>
          <w:sz w:val="24"/>
          <w:szCs w:val="24"/>
          <w:lang w:val="en-US"/>
        </w:rPr>
      </w:pPr>
    </w:p>
    <w:sectPr w:rsidR="00002AA1" w:rsidRPr="0063739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embedRegular r:id="rId1" w:fontKey="{D7EC8967-EEC1-43AF-95BF-98570C05B131}"/>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embedRegular r:id="rId2" w:fontKey="{4ABB5978-411A-48B7-8CBD-499BA85C3BE9}"/>
    <w:embedBoldItalic r:id="rId3" w:fontKey="{2B058980-5AEF-48FF-88F8-6E9BD0BCB378}"/>
  </w:font>
  <w:font w:name="Calibri">
    <w:panose1 w:val="020F0502020204030204"/>
    <w:charset w:val="00"/>
    <w:family w:val="swiss"/>
    <w:pitch w:val="variable"/>
    <w:sig w:usb0="E4002EFF" w:usb1="C000247B" w:usb2="00000009" w:usb3="00000000" w:csb0="000001FF" w:csb1="00000000"/>
    <w:embedRegular r:id="rId4" w:fontKey="{B8070D2E-B82C-4257-A24C-D8BE91D8D233}"/>
    <w:embedBold r:id="rId5" w:fontKey="{97310604-F028-468B-9C87-BC5E0D68D5B7}"/>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embedRegular r:id="rId6" w:fontKey="{86869FEF-6772-4E22-9E58-5C561EA66C0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80CA8"/>
    <w:multiLevelType w:val="multilevel"/>
    <w:tmpl w:val="57245078"/>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23363CF"/>
    <w:multiLevelType w:val="multilevel"/>
    <w:tmpl w:val="620CED10"/>
    <w:lvl w:ilvl="0">
      <w:start w:val="1"/>
      <w:numFmt w:val="bullet"/>
      <w:lvlText w:val="●"/>
      <w:lvlJc w:val="left"/>
      <w:pPr>
        <w:ind w:left="720" w:hanging="360"/>
      </w:pPr>
      <w:rPr>
        <w:rFonts w:ascii="Roboto" w:eastAsia="Roboto" w:hAnsi="Roboto" w:cs="Roboto"/>
        <w:b w:val="0"/>
        <w:bCs w:val="0"/>
        <w:i w:val="0"/>
        <w:iCs w:val="0"/>
        <w:smallCaps w:val="0"/>
        <w:color w:val="242424"/>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63860443">
    <w:abstractNumId w:val="1"/>
  </w:num>
  <w:num w:numId="2" w16cid:durableId="339242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AA1"/>
    <w:rsid w:val="00002AA1"/>
    <w:rsid w:val="0063739F"/>
    <w:rsid w:val="00CB1EF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395EB"/>
  <w15:docId w15:val="{2F0929AE-929D-4A72-9EBE-6F28ED1B5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pCQ28ukwdDaaoelDrw7aLnnxmA==">CgMxLjA4AHIhMUx0MTdKUU0xQ0cwR2RhR05aOUZ2SjlUVm52Zk5ycWpo</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o" ma:contentTypeID="0x0101009C5432FAF159EE4CAF60A38E6021B211" ma:contentTypeVersion="6" ma:contentTypeDescription="Crear nuevo documento." ma:contentTypeScope="" ma:versionID="03259df3b2617adeee7a61659d859288">
  <xsd:schema xmlns:xsd="http://www.w3.org/2001/XMLSchema" xmlns:xs="http://www.w3.org/2001/XMLSchema" xmlns:p="http://schemas.microsoft.com/office/2006/metadata/properties" xmlns:ns2="43f4230e-fa25-4cdd-b20f-62221235e4b0" targetNamespace="http://schemas.microsoft.com/office/2006/metadata/properties" ma:root="true" ma:fieldsID="f380b219dc2baeacd1b803f0d1f0de91" ns2:_="">
    <xsd:import namespace="43f4230e-fa25-4cdd-b20f-62221235e4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4230e-fa25-4cdd-b20f-62221235e4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0B64681-2157-46CB-861F-AEF65C24810F}"/>
</file>

<file path=customXml/itemProps3.xml><?xml version="1.0" encoding="utf-8"?>
<ds:datastoreItem xmlns:ds="http://schemas.openxmlformats.org/officeDocument/2006/customXml" ds:itemID="{4E6DE5C6-0783-49DE-9FCA-0CCE0603EE50}"/>
</file>

<file path=customXml/itemProps4.xml><?xml version="1.0" encoding="utf-8"?>
<ds:datastoreItem xmlns:ds="http://schemas.openxmlformats.org/officeDocument/2006/customXml" ds:itemID="{BABE4DC2-999A-4EC9-8449-7AA054963597}"/>
</file>

<file path=docProps/app.xml><?xml version="1.0" encoding="utf-8"?>
<Properties xmlns="http://schemas.openxmlformats.org/officeDocument/2006/extended-properties" xmlns:vt="http://schemas.openxmlformats.org/officeDocument/2006/docPropsVTypes">
  <Template>Normal</Template>
  <TotalTime>1</TotalTime>
  <Pages>1</Pages>
  <Words>2608</Words>
  <Characters>14739</Characters>
  <Application>Microsoft Office Word</Application>
  <DocSecurity>0</DocSecurity>
  <Lines>313</Lines>
  <Paragraphs>166</Paragraphs>
  <ScaleCrop>false</ScaleCrop>
  <Company/>
  <LinksUpToDate>false</LinksUpToDate>
  <CharactersWithSpaces>17181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Marcelo A. Rodriguez</cp:lastModifiedBy>
  <cp:revision>3</cp:revision>
  <dcterms:created xsi:type="dcterms:W3CDTF">2026-08-06T13:33:00Z</dcterms:created>
  <dcterms:modified xsi:type="dcterms:W3CDTF">2026-08-06T13:34:00Z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0x0101009C5432FAF159EE4CAF60A38E6021B211</vt:lpwstr>
  </property>
</Properties>
</file>